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一、判断题</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）》，封闭式液压柜的试验压力应为</w:t>
      </w:r>
      <w:r>
        <w:rPr>
          <w:szCs w:val="21"/>
        </w:rPr>
        <w:t>1.5</w:t>
      </w:r>
      <w:r>
        <w:rPr>
          <w:rFonts w:hint="eastAsia"/>
          <w:szCs w:val="21"/>
        </w:rPr>
        <w:t>倍设计压力，但应不小于</w:t>
      </w:r>
      <w:r>
        <w:rPr>
          <w:szCs w:val="21"/>
        </w:rPr>
        <w:t>0.4MPa</w:t>
      </w:r>
      <w:r>
        <w:rPr>
          <w:rFonts w:hint="eastAsia"/>
          <w:szCs w:val="21"/>
        </w:rPr>
        <w:t>。</w:t>
      </w:r>
    </w:p>
    <w:p>
      <w:pPr>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）》，内河小型渔船可以使用以汽油为燃料的座机。</w:t>
      </w:r>
    </w:p>
    <w:p>
      <w:pPr>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）》，小型渔船机舱应至少设有二个出入口，出入口应能直接通向干舷甲板。</w:t>
      </w:r>
    </w:p>
    <w:p>
      <w:pPr>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）》，渔船机舱内各种设备的布置，应有便于操纵和维修的防滑通道。</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）》，渔船各种管路、传动杆通过水密舱壁时，应保证水密。</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）》，渔船各种管路、传动杆通过水密舱壁时，对密性无要求。</w:t>
      </w:r>
    </w:p>
    <w:p>
      <w:pPr>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）》，螺旋桨及其附件的固定螺钉、螺母等，均应有可靠的防止松动及防蚀措施。</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）》，轴系通过水密舱壁处应设有挡水板，其设置应便于检查和维修。</w:t>
      </w:r>
    </w:p>
    <w:p>
      <w:pPr>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）》，汽油机为舷外挂机的船舶，舷外挂机应能可靠地固定在艉封板上，其电缆应有效密封，油、气软管的连接处不应有泄漏。</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）》，汽油机为舷外挂机的船舶，总功率为</w:t>
      </w:r>
      <w:r>
        <w:rPr>
          <w:szCs w:val="21"/>
        </w:rPr>
        <w:t>40kW</w:t>
      </w:r>
      <w:r>
        <w:rPr>
          <w:rFonts w:hint="eastAsia"/>
          <w:szCs w:val="21"/>
        </w:rPr>
        <w:t>及以上的舷外挂机，应在船首设置手轮操纵台。</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）》，渔船燃油箱柜安装前应进行液压试验，试验压力应不小于</w:t>
      </w:r>
      <w:r>
        <w:rPr>
          <w:szCs w:val="21"/>
        </w:rPr>
        <w:t>0.02MPa</w:t>
      </w:r>
      <w:r>
        <w:rPr>
          <w:rFonts w:hint="eastAsia"/>
          <w:szCs w:val="21"/>
        </w:rPr>
        <w:t>。</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）》，渔船燃油箱柜安装前应进行液压试验，试验压力应不小于</w:t>
      </w:r>
      <w:r>
        <w:rPr>
          <w:szCs w:val="21"/>
        </w:rPr>
        <w:t>0.2MPa</w:t>
      </w:r>
      <w:r>
        <w:rPr>
          <w:rFonts w:hint="eastAsia"/>
          <w:szCs w:val="21"/>
        </w:rPr>
        <w:t>。</w:t>
      </w:r>
    </w:p>
    <w:p>
      <w:pPr>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）》，渔船主机排气管路应采用适当的绝热材料进行包裹，绝热层表面温度应不超过</w:t>
      </w:r>
      <w:r>
        <w:rPr>
          <w:szCs w:val="21"/>
        </w:rPr>
        <w:t>100℃</w:t>
      </w:r>
      <w:r>
        <w:rPr>
          <w:rFonts w:hint="eastAsia"/>
          <w:szCs w:val="21"/>
        </w:rPr>
        <w:t>。</w:t>
      </w:r>
    </w:p>
    <w:p>
      <w:pPr>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）》，冷却水管系或循环系统的冷却水泵应连接不少于两个舷外的吸口，吸口应尽可能分布于两舷，且按高低位布置。</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）》，主机总功率大于</w:t>
      </w:r>
      <w:r>
        <w:rPr>
          <w:szCs w:val="21"/>
        </w:rPr>
        <w:t>44.1kW</w:t>
      </w:r>
      <w:r>
        <w:rPr>
          <w:rFonts w:hint="eastAsia"/>
          <w:szCs w:val="21"/>
        </w:rPr>
        <w:t>的船舶应设一台动力舱底泵，可为独立动力泵或主机带动泵。</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）》，座舱机渔船主机的固定螺栓至少应各有一只紧配螺栓，或按产品说明书中安装要求安装。</w:t>
      </w:r>
    </w:p>
    <w:p>
      <w:pPr>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）》，主柴油机功率不小于</w:t>
      </w:r>
      <w:r>
        <w:rPr>
          <w:szCs w:val="21"/>
        </w:rPr>
        <w:t>22kW</w:t>
      </w:r>
      <w:r>
        <w:rPr>
          <w:rFonts w:hint="eastAsia"/>
          <w:szCs w:val="21"/>
        </w:rPr>
        <w:t>时，应装设</w:t>
      </w:r>
      <w:r>
        <w:rPr>
          <w:szCs w:val="21"/>
        </w:rPr>
        <w:t>1</w:t>
      </w:r>
      <w:r>
        <w:rPr>
          <w:rFonts w:hint="eastAsia"/>
          <w:szCs w:val="21"/>
        </w:rPr>
        <w:t>套额定处理量不小于</w:t>
      </w:r>
      <w:r>
        <w:rPr>
          <w:szCs w:val="21"/>
        </w:rPr>
        <w:t>0.04m</w:t>
      </w:r>
      <w:r>
        <w:rPr>
          <w:szCs w:val="21"/>
          <w:vertAlign w:val="superscript"/>
        </w:rPr>
        <w:t>3</w:t>
      </w:r>
      <w:r>
        <w:rPr>
          <w:szCs w:val="21"/>
        </w:rPr>
        <w:t>/h</w:t>
      </w:r>
      <w:r>
        <w:rPr>
          <w:rFonts w:hint="eastAsia"/>
          <w:szCs w:val="21"/>
        </w:rPr>
        <w:t>的滤油设备。</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）》，挂桨机应装设</w:t>
      </w:r>
      <w:r>
        <w:rPr>
          <w:szCs w:val="21"/>
        </w:rPr>
        <w:t>1</w:t>
      </w:r>
      <w:r>
        <w:rPr>
          <w:rFonts w:hint="eastAsia"/>
          <w:szCs w:val="21"/>
        </w:rPr>
        <w:t>套额定处理量不小于</w:t>
      </w:r>
      <w:r>
        <w:rPr>
          <w:szCs w:val="21"/>
        </w:rPr>
        <w:t>0.01m</w:t>
      </w:r>
      <w:r>
        <w:rPr>
          <w:szCs w:val="21"/>
          <w:vertAlign w:val="superscript"/>
        </w:rPr>
        <w:t>3</w:t>
      </w:r>
      <w:r>
        <w:rPr>
          <w:szCs w:val="21"/>
        </w:rPr>
        <w:t>/h</w:t>
      </w:r>
      <w:r>
        <w:rPr>
          <w:rFonts w:hint="eastAsia"/>
          <w:szCs w:val="21"/>
        </w:rPr>
        <w:t>的滤油设备，或设置</w:t>
      </w:r>
      <w:r>
        <w:rPr>
          <w:szCs w:val="21"/>
        </w:rPr>
        <w:t>1</w:t>
      </w:r>
      <w:r>
        <w:rPr>
          <w:rFonts w:hint="eastAsia"/>
          <w:szCs w:val="21"/>
        </w:rPr>
        <w:t>个容量足够的适合储存含油污水的容器。</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渔船排放的处理水的含油量应不超过</w:t>
      </w:r>
      <w:r>
        <w:rPr>
          <w:szCs w:val="21"/>
        </w:rPr>
        <w:t>15ppm</w:t>
      </w:r>
      <w:r>
        <w:rPr>
          <w:rFonts w:hint="eastAsia"/>
          <w:szCs w:val="21"/>
        </w:rPr>
        <w:t>，不应采用稀释等任何操作方法排放未经处理的污油水。</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）》，甲板动力机械及挂桨机处应设置油盘或具有其他可靠的收集泄漏残油的措施，</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）》，船舶应设有足够容量的垃圾贮集器，并予以适当固定。</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）》，小型渔船</w:t>
      </w:r>
      <w:r>
        <w:rPr>
          <w:rFonts w:hint="eastAsia" w:ascii="宋体" w:hAnsi="宋体" w:cs="SimSun-Identity-H"/>
          <w:kern w:val="0"/>
          <w:szCs w:val="21"/>
        </w:rPr>
        <w:t>主机排气管可不</w:t>
      </w:r>
      <w:r>
        <w:rPr>
          <w:rFonts w:ascii="宋体" w:hAnsi="宋体" w:cs="SimSun-Identity-H"/>
          <w:kern w:val="0"/>
          <w:szCs w:val="21"/>
        </w:rPr>
        <w:t>设置消声器</w:t>
      </w:r>
      <w:r>
        <w:rPr>
          <w:rFonts w:hint="eastAsia"/>
          <w:szCs w:val="21"/>
        </w:rPr>
        <w:t>。</w:t>
      </w:r>
    </w:p>
    <w:p>
      <w:pPr>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w:t>
      </w:r>
      <w:r>
        <w:rPr>
          <w:rFonts w:hint="eastAsia" w:ascii="宋体" w:hAnsi="宋体"/>
          <w:szCs w:val="21"/>
        </w:rPr>
        <w:t>据《内河小型渔船法定检验技术规则（</w:t>
      </w:r>
      <w:r>
        <w:rPr>
          <w:rFonts w:ascii="宋体" w:hAnsi="宋体"/>
          <w:szCs w:val="21"/>
        </w:rPr>
        <w:t>2019</w:t>
      </w:r>
      <w:r>
        <w:rPr>
          <w:rFonts w:hint="eastAsia" w:ascii="宋体" w:hAnsi="宋体"/>
          <w:szCs w:val="21"/>
        </w:rPr>
        <w:t>）》，冷却水系统</w:t>
      </w:r>
      <w:r>
        <w:rPr>
          <w:rFonts w:ascii="宋体" w:hAnsi="宋体" w:cs="SimSun-Identity-H"/>
          <w:kern w:val="0"/>
          <w:szCs w:val="21"/>
        </w:rPr>
        <w:t>可仅设</w:t>
      </w:r>
      <w:r>
        <w:rPr>
          <w:rFonts w:ascii="宋体" w:hAnsi="宋体" w:cs="TimesNewRomanPSMT-Identity-H"/>
          <w:kern w:val="0"/>
          <w:szCs w:val="21"/>
        </w:rPr>
        <w:t>1</w:t>
      </w:r>
      <w:r>
        <w:rPr>
          <w:rFonts w:ascii="宋体" w:hAnsi="宋体" w:cs="SimSun-Identity-H"/>
          <w:kern w:val="0"/>
          <w:szCs w:val="21"/>
        </w:rPr>
        <w:t>只进水吸口</w:t>
      </w:r>
      <w:r>
        <w:rPr>
          <w:rFonts w:hint="eastAsia"/>
          <w:szCs w:val="21"/>
        </w:rPr>
        <w:t>。</w:t>
      </w:r>
    </w:p>
    <w:p>
      <w:pPr>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）》，安装上渔船的主机应经验船机构认可，满足船舶适用条件的才可装船使用。</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）》，渔船的主机和齿轮箱的安装应尽可能采用公共基座。</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）》，座舱机渔船主机的固定螺栓至少应各有</w:t>
      </w:r>
      <w:r>
        <w:rPr>
          <w:szCs w:val="21"/>
        </w:rPr>
        <w:t>4</w:t>
      </w:r>
      <w:r>
        <w:rPr>
          <w:rFonts w:hint="eastAsia"/>
          <w:szCs w:val="21"/>
        </w:rPr>
        <w:t>只紧配螺栓，或按产品说明书中安装要求安装。</w:t>
      </w:r>
    </w:p>
    <w:p>
      <w:pPr>
        <w:adjustRightInd w:val="0"/>
        <w:snapToGrid w:val="0"/>
        <w:rPr>
          <w:szCs w:val="21"/>
        </w:rPr>
      </w:pPr>
      <w:r>
        <w:rPr>
          <w:rFonts w:hint="eastAsia"/>
          <w:szCs w:val="21"/>
        </w:rPr>
        <w:t>答案：×</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）》，渔船螺旋桨轴的直径应能承受在一切正常情况下可能产生的最大工作应力。</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）》，渔船联轴器用键安装到轴上时，键材料的抗拉强度应不小于轴材料的抗拉强度。</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）》，渔船螺旋桨及其附件的固定螺钉、螺母等均应有可靠的防止松动措施。</w:t>
      </w:r>
    </w:p>
    <w:p>
      <w:pPr>
        <w:adjustRightInd w:val="0"/>
        <w:snapToGrid w:val="0"/>
        <w:rPr>
          <w:szCs w:val="21"/>
        </w:rPr>
      </w:pPr>
      <w:r>
        <w:rPr>
          <w:rFonts w:hint="eastAsia"/>
          <w:szCs w:val="21"/>
        </w:rPr>
        <w:t>答案：</w:t>
      </w:r>
      <w:r>
        <w:rPr>
          <w:szCs w:val="21"/>
        </w:rPr>
        <w:t>√</w:t>
      </w:r>
    </w:p>
    <w:p>
      <w:pPr>
        <w:pStyle w:val="14"/>
        <w:numPr>
          <w:ilvl w:val="0"/>
          <w:numId w:val="1"/>
        </w:numPr>
        <w:adjustRightInd w:val="0"/>
        <w:snapToGrid w:val="0"/>
        <w:ind w:firstLineChars="0"/>
        <w:rPr>
          <w:szCs w:val="21"/>
        </w:rPr>
      </w:pPr>
      <w:r>
        <w:rPr>
          <w:rFonts w:hint="eastAsia"/>
          <w:szCs w:val="21"/>
        </w:rPr>
        <w:t>依据《内河渔船法定检验技术规则（</w:t>
      </w:r>
      <w:r>
        <w:rPr>
          <w:szCs w:val="21"/>
        </w:rPr>
        <w:t>2019</w:t>
      </w:r>
      <w:r>
        <w:rPr>
          <w:rFonts w:hint="eastAsia"/>
          <w:szCs w:val="21"/>
        </w:rPr>
        <w:t>）》，船舶在满载吃水的最大航速航行时，从一舷</w:t>
      </w:r>
      <w:r>
        <w:rPr>
          <w:szCs w:val="21"/>
        </w:rPr>
        <w:t>35º</w:t>
      </w:r>
      <w:r>
        <w:rPr>
          <w:rFonts w:hint="eastAsia"/>
          <w:szCs w:val="21"/>
        </w:rPr>
        <w:t>转至另一舷</w:t>
      </w:r>
      <w:r>
        <w:rPr>
          <w:szCs w:val="21"/>
        </w:rPr>
        <w:t>35º</w:t>
      </w:r>
      <w:r>
        <w:rPr>
          <w:rFonts w:hint="eastAsia"/>
          <w:szCs w:val="21"/>
        </w:rPr>
        <w:t>的转舵时间，</w:t>
      </w:r>
      <w:r>
        <w:rPr>
          <w:szCs w:val="21"/>
        </w:rPr>
        <w:t>J</w:t>
      </w:r>
      <w:r>
        <w:rPr>
          <w:rFonts w:hint="eastAsia"/>
          <w:szCs w:val="21"/>
        </w:rPr>
        <w:t>级航段应不大于</w:t>
      </w:r>
      <w:r>
        <w:rPr>
          <w:szCs w:val="21"/>
        </w:rPr>
        <w:t>15s</w:t>
      </w:r>
      <w:r>
        <w:rPr>
          <w:rFonts w:hint="eastAsia"/>
          <w:szCs w:val="21"/>
        </w:rPr>
        <w:t>，其它航区应不大于</w:t>
      </w:r>
      <w:r>
        <w:rPr>
          <w:szCs w:val="21"/>
        </w:rPr>
        <w:t>20s</w:t>
      </w:r>
      <w:r>
        <w:rPr>
          <w:rFonts w:hint="eastAsia"/>
          <w:szCs w:val="21"/>
        </w:rPr>
        <w:t>。</w:t>
      </w:r>
    </w:p>
    <w:p>
      <w:pPr>
        <w:adjustRightInd w:val="0"/>
        <w:snapToGrid w:val="0"/>
        <w:rPr>
          <w:szCs w:val="21"/>
        </w:rPr>
      </w:pPr>
      <w:r>
        <w:rPr>
          <w:rFonts w:hint="eastAsia"/>
          <w:szCs w:val="21"/>
        </w:rPr>
        <w:t>答案：×</w:t>
      </w:r>
    </w:p>
    <w:p>
      <w:pPr>
        <w:pStyle w:val="14"/>
        <w:numPr>
          <w:ilvl w:val="0"/>
          <w:numId w:val="1"/>
        </w:numPr>
        <w:adjustRightInd w:val="0"/>
        <w:snapToGrid w:val="0"/>
        <w:ind w:firstLineChars="0"/>
        <w:rPr>
          <w:szCs w:val="21"/>
        </w:rPr>
      </w:pPr>
      <w:r>
        <w:rPr>
          <w:rFonts w:hint="eastAsia"/>
          <w:szCs w:val="21"/>
        </w:rPr>
        <w:t>依据《内河小型渔船法定检验技术规则（</w:t>
      </w:r>
      <w:r>
        <w:rPr>
          <w:szCs w:val="21"/>
        </w:rPr>
        <w:t>2019</w:t>
      </w:r>
      <w:r>
        <w:rPr>
          <w:rFonts w:hint="eastAsia"/>
          <w:szCs w:val="21"/>
        </w:rPr>
        <w:t>）》，严禁渔船向所在水域直接排放含油污水。</w:t>
      </w:r>
    </w:p>
    <w:p>
      <w:pPr>
        <w:rPr>
          <w:szCs w:val="21"/>
        </w:rPr>
      </w:pPr>
      <w:r>
        <w:rPr>
          <w:rFonts w:hint="eastAsia"/>
          <w:szCs w:val="21"/>
        </w:rPr>
        <w:t>答案：</w:t>
      </w:r>
      <w:r>
        <w:rPr>
          <w:szCs w:val="21"/>
        </w:rPr>
        <w:t>√</w:t>
      </w:r>
    </w:p>
    <w:p>
      <w:pPr>
        <w:pStyle w:val="14"/>
        <w:numPr>
          <w:ilvl w:val="0"/>
          <w:numId w:val="1"/>
        </w:numPr>
        <w:adjustRightInd w:val="0"/>
        <w:snapToGrid w:val="0"/>
        <w:spacing w:line="320" w:lineRule="atLeast"/>
        <w:ind w:firstLineChars="0"/>
        <w:rPr>
          <w:szCs w:val="21"/>
        </w:rPr>
      </w:pPr>
      <w:r>
        <w:rPr>
          <w:rFonts w:hint="eastAsia"/>
          <w:szCs w:val="21"/>
        </w:rPr>
        <w:t>依据《内河小型渔船法定检验技术规则（</w:t>
      </w:r>
      <w:r>
        <w:rPr>
          <w:szCs w:val="21"/>
        </w:rPr>
        <w:t>2019</w:t>
      </w:r>
      <w:r>
        <w:rPr>
          <w:rFonts w:hint="eastAsia"/>
          <w:szCs w:val="21"/>
        </w:rPr>
        <w:t>）》，所有内河渔船都应至少设１台动力舱底泵，对人员不易进入又必须进行排水的舱室应设１台</w:t>
      </w:r>
      <w:bookmarkStart w:id="0" w:name="_GoBack"/>
      <w:r>
        <w:rPr>
          <w:rFonts w:hint="eastAsia"/>
          <w:szCs w:val="21"/>
        </w:rPr>
        <w:t>手动舱底泵</w:t>
      </w:r>
      <w:bookmarkEnd w:id="0"/>
      <w:r>
        <w:rPr>
          <w:rFonts w:hint="eastAsia"/>
          <w:szCs w:val="21"/>
        </w:rPr>
        <w:t>。</w:t>
      </w:r>
    </w:p>
    <w:p>
      <w:pPr>
        <w:rPr>
          <w:szCs w:val="21"/>
        </w:rPr>
      </w:pPr>
      <w:r>
        <w:rPr>
          <w:rFonts w:hint="eastAsia"/>
          <w:szCs w:val="21"/>
        </w:rPr>
        <w:t>答案：</w:t>
      </w:r>
      <w:r>
        <w:rPr>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imSun-Identity-H">
    <w:altName w:val="Times New Roman"/>
    <w:panose1 w:val="00000000000000000000"/>
    <w:charset w:val="00"/>
    <w:family w:val="roman"/>
    <w:pitch w:val="default"/>
    <w:sig w:usb0="00000000" w:usb1="00000000" w:usb2="00000000" w:usb3="00000000" w:csb0="00000000" w:csb1="00000000"/>
  </w:font>
  <w:font w:name="TimesNewRomanPSMT-Identity-H">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6121D"/>
    <w:multiLevelType w:val="multilevel"/>
    <w:tmpl w:val="5416121D"/>
    <w:lvl w:ilvl="0" w:tentative="0">
      <w:start w:val="1"/>
      <w:numFmt w:val="decimal"/>
      <w:suff w:val="space"/>
      <w:lvlText w:val="%1."/>
      <w:lvlJc w:val="left"/>
      <w:pPr>
        <w:ind w:left="0" w:firstLine="0"/>
      </w:pPr>
      <w:rPr>
        <w:rFonts w:hint="default"/>
        <w:lang w:eastAsia="zh-CN"/>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JjMTQ0ZTExYzk0ZmQwNmE3NTAyOTRmMzJlM2M3OWYifQ=="/>
  </w:docVars>
  <w:rsids>
    <w:rsidRoot w:val="009E1028"/>
    <w:rsid w:val="000253AE"/>
    <w:rsid w:val="00036D17"/>
    <w:rsid w:val="00045CE8"/>
    <w:rsid w:val="0008016D"/>
    <w:rsid w:val="000A0D18"/>
    <w:rsid w:val="000B7380"/>
    <w:rsid w:val="000D3EE2"/>
    <w:rsid w:val="000D4CAA"/>
    <w:rsid w:val="000E27D4"/>
    <w:rsid w:val="001372A5"/>
    <w:rsid w:val="00190AE5"/>
    <w:rsid w:val="001956BD"/>
    <w:rsid w:val="001C46B4"/>
    <w:rsid w:val="00204BAA"/>
    <w:rsid w:val="00227A56"/>
    <w:rsid w:val="00241492"/>
    <w:rsid w:val="002954A1"/>
    <w:rsid w:val="002A3263"/>
    <w:rsid w:val="002A4A3B"/>
    <w:rsid w:val="002A627F"/>
    <w:rsid w:val="002B0F5D"/>
    <w:rsid w:val="002B647A"/>
    <w:rsid w:val="002E3C18"/>
    <w:rsid w:val="002E55D2"/>
    <w:rsid w:val="00303931"/>
    <w:rsid w:val="0040781A"/>
    <w:rsid w:val="0046534E"/>
    <w:rsid w:val="00480DB8"/>
    <w:rsid w:val="00494510"/>
    <w:rsid w:val="004B5DF2"/>
    <w:rsid w:val="004E37D8"/>
    <w:rsid w:val="004F4A66"/>
    <w:rsid w:val="005176A1"/>
    <w:rsid w:val="005543EF"/>
    <w:rsid w:val="0059585F"/>
    <w:rsid w:val="005B003C"/>
    <w:rsid w:val="005D0A99"/>
    <w:rsid w:val="005D66B6"/>
    <w:rsid w:val="00643E68"/>
    <w:rsid w:val="006445E7"/>
    <w:rsid w:val="006642F1"/>
    <w:rsid w:val="006668D3"/>
    <w:rsid w:val="00677B1B"/>
    <w:rsid w:val="006E7D50"/>
    <w:rsid w:val="006F0AE9"/>
    <w:rsid w:val="007027BC"/>
    <w:rsid w:val="007062F5"/>
    <w:rsid w:val="00740480"/>
    <w:rsid w:val="00765E86"/>
    <w:rsid w:val="00766AD5"/>
    <w:rsid w:val="007761EC"/>
    <w:rsid w:val="007B21AE"/>
    <w:rsid w:val="007C19A0"/>
    <w:rsid w:val="00800482"/>
    <w:rsid w:val="00850651"/>
    <w:rsid w:val="00857062"/>
    <w:rsid w:val="00883814"/>
    <w:rsid w:val="00911F06"/>
    <w:rsid w:val="0091391E"/>
    <w:rsid w:val="0091796C"/>
    <w:rsid w:val="009375CB"/>
    <w:rsid w:val="009421F0"/>
    <w:rsid w:val="0094421C"/>
    <w:rsid w:val="0096310D"/>
    <w:rsid w:val="009C6D4A"/>
    <w:rsid w:val="009D6CBA"/>
    <w:rsid w:val="009E1028"/>
    <w:rsid w:val="00A20551"/>
    <w:rsid w:val="00A540BF"/>
    <w:rsid w:val="00A75C81"/>
    <w:rsid w:val="00A80BCA"/>
    <w:rsid w:val="00A86F9B"/>
    <w:rsid w:val="00A94790"/>
    <w:rsid w:val="00AA2779"/>
    <w:rsid w:val="00AC7817"/>
    <w:rsid w:val="00B21F43"/>
    <w:rsid w:val="00B4053F"/>
    <w:rsid w:val="00B4530A"/>
    <w:rsid w:val="00B5500B"/>
    <w:rsid w:val="00B84CAC"/>
    <w:rsid w:val="00BA27AC"/>
    <w:rsid w:val="00BD10D4"/>
    <w:rsid w:val="00BE0983"/>
    <w:rsid w:val="00C15A9B"/>
    <w:rsid w:val="00C26147"/>
    <w:rsid w:val="00C447AA"/>
    <w:rsid w:val="00C6186E"/>
    <w:rsid w:val="00C84AFA"/>
    <w:rsid w:val="00CB56C8"/>
    <w:rsid w:val="00CF7958"/>
    <w:rsid w:val="00D219B7"/>
    <w:rsid w:val="00D5583F"/>
    <w:rsid w:val="00D616B9"/>
    <w:rsid w:val="00D62088"/>
    <w:rsid w:val="00D90839"/>
    <w:rsid w:val="00DA3C20"/>
    <w:rsid w:val="00DA7E78"/>
    <w:rsid w:val="00DB18B5"/>
    <w:rsid w:val="00DB5D43"/>
    <w:rsid w:val="00DD011C"/>
    <w:rsid w:val="00DE1553"/>
    <w:rsid w:val="00DE5020"/>
    <w:rsid w:val="00DF3297"/>
    <w:rsid w:val="00E20EF4"/>
    <w:rsid w:val="00E6146A"/>
    <w:rsid w:val="00E65755"/>
    <w:rsid w:val="00EB5409"/>
    <w:rsid w:val="00F31726"/>
    <w:rsid w:val="00F44893"/>
    <w:rsid w:val="00F540DD"/>
    <w:rsid w:val="00FE13C1"/>
    <w:rsid w:val="00FF05B2"/>
    <w:rsid w:val="0B7F06E2"/>
    <w:rsid w:val="33733A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Plain Text"/>
    <w:basedOn w:val="1"/>
    <w:link w:val="16"/>
    <w:semiHidden/>
    <w:unhideWhenUsed/>
    <w:uiPriority w:val="0"/>
    <w:rPr>
      <w:rFonts w:ascii="宋体" w:hAnsi="Courier New" w:eastAsiaTheme="minorEastAsia" w:cstheme="minorBidi"/>
      <w:szCs w:val="22"/>
    </w:rPr>
  </w:style>
  <w:style w:type="paragraph" w:styleId="4">
    <w:name w:val="Balloon Text"/>
    <w:basedOn w:val="1"/>
    <w:link w:val="20"/>
    <w:semiHidden/>
    <w:unhideWhenUsed/>
    <w:qFormat/>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semiHidden/>
    <w:unhideWhenUsed/>
    <w:qFormat/>
    <w:uiPriority w:val="99"/>
    <w:rPr>
      <w:b/>
      <w:bCs/>
    </w:rPr>
  </w:style>
  <w:style w:type="character" w:styleId="10">
    <w:name w:val="Hyperlink"/>
    <w:qFormat/>
    <w:uiPriority w:val="0"/>
    <w:rPr>
      <w:color w:val="0000FF"/>
      <w:szCs w:val="20"/>
      <w:u w:val="single"/>
    </w:rPr>
  </w:style>
  <w:style w:type="character" w:styleId="11">
    <w:name w:val="annotation reference"/>
    <w:basedOn w:val="9"/>
    <w:semiHidden/>
    <w:unhideWhenUsed/>
    <w:uiPriority w:val="99"/>
    <w:rPr>
      <w:sz w:val="21"/>
      <w:szCs w:val="21"/>
    </w:rPr>
  </w:style>
  <w:style w:type="character" w:customStyle="1" w:styleId="12">
    <w:name w:val="页眉 Char"/>
    <w:basedOn w:val="9"/>
    <w:link w:val="6"/>
    <w:uiPriority w:val="99"/>
    <w:rPr>
      <w:sz w:val="18"/>
      <w:szCs w:val="18"/>
    </w:rPr>
  </w:style>
  <w:style w:type="character" w:customStyle="1" w:styleId="13">
    <w:name w:val="页脚 Char"/>
    <w:basedOn w:val="9"/>
    <w:link w:val="5"/>
    <w:uiPriority w:val="99"/>
    <w:rPr>
      <w:sz w:val="18"/>
      <w:szCs w:val="18"/>
    </w:rPr>
  </w:style>
  <w:style w:type="paragraph" w:styleId="14">
    <w:name w:val="List Paragraph"/>
    <w:basedOn w:val="1"/>
    <w:qFormat/>
    <w:uiPriority w:val="34"/>
    <w:pPr>
      <w:ind w:firstLine="420" w:firstLineChars="200"/>
    </w:pPr>
  </w:style>
  <w:style w:type="paragraph" w:customStyle="1" w:styleId="15">
    <w:name w:val="msonormal"/>
    <w:basedOn w:val="1"/>
    <w:uiPriority w:val="0"/>
    <w:pPr>
      <w:widowControl/>
      <w:spacing w:before="100" w:beforeAutospacing="1" w:after="100" w:afterAutospacing="1"/>
      <w:jc w:val="left"/>
    </w:pPr>
    <w:rPr>
      <w:rFonts w:ascii="宋体" w:hAnsi="宋体" w:cs="宋体"/>
      <w:kern w:val="0"/>
      <w:sz w:val="24"/>
    </w:rPr>
  </w:style>
  <w:style w:type="character" w:customStyle="1" w:styleId="16">
    <w:name w:val="纯文本 Char"/>
    <w:basedOn w:val="9"/>
    <w:link w:val="3"/>
    <w:semiHidden/>
    <w:qFormat/>
    <w:uiPriority w:val="0"/>
    <w:rPr>
      <w:rFonts w:ascii="宋体" w:hAnsi="Courier New"/>
    </w:rPr>
  </w:style>
  <w:style w:type="character" w:customStyle="1" w:styleId="17">
    <w:name w:val="纯文本 字符1"/>
    <w:basedOn w:val="9"/>
    <w:semiHidden/>
    <w:uiPriority w:val="99"/>
    <w:rPr>
      <w:rFonts w:hint="eastAsia" w:hAnsi="Courier New" w:eastAsia="等线" w:cs="Courier New" w:asciiTheme="minorEastAsia"/>
      <w:szCs w:val="24"/>
    </w:rPr>
  </w:style>
  <w:style w:type="character" w:customStyle="1" w:styleId="18">
    <w:name w:val="批注文字 Char"/>
    <w:basedOn w:val="9"/>
    <w:link w:val="2"/>
    <w:semiHidden/>
    <w:uiPriority w:val="99"/>
    <w:rPr>
      <w:rFonts w:ascii="Times New Roman" w:hAnsi="Times New Roman" w:eastAsia="宋体" w:cs="Times New Roman"/>
      <w:szCs w:val="24"/>
    </w:rPr>
  </w:style>
  <w:style w:type="character" w:customStyle="1" w:styleId="19">
    <w:name w:val="批注主题 Char"/>
    <w:basedOn w:val="18"/>
    <w:link w:val="7"/>
    <w:semiHidden/>
    <w:qFormat/>
    <w:uiPriority w:val="99"/>
    <w:rPr>
      <w:rFonts w:ascii="Times New Roman" w:hAnsi="Times New Roman" w:eastAsia="宋体" w:cs="Times New Roman"/>
      <w:b/>
      <w:bCs/>
      <w:szCs w:val="24"/>
    </w:rPr>
  </w:style>
  <w:style w:type="character" w:customStyle="1" w:styleId="20">
    <w:name w:val="批注框文本 Char"/>
    <w:basedOn w:val="9"/>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2</Pages>
  <Words>1831</Words>
  <Characters>1982</Characters>
  <Lines>14</Lines>
  <Paragraphs>4</Paragraphs>
  <TotalTime>6</TotalTime>
  <ScaleCrop>false</ScaleCrop>
  <LinksUpToDate>false</LinksUpToDate>
  <CharactersWithSpaces>1982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2023-08-18T01:28:00Z</dcterms:created>
  <dc:creator>姚静</dc:creator>
  <cp:lastModifiedBy>jsyj-ysc2</cp:lastModifiedBy>
  <cp:lastPrinted>2023-08-14T00:59:00Z</cp:lastPrinted>
  <dcterms:modified xsi:type="dcterms:W3CDTF">2023-09-03T02:43:08Z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505ABB2219754D03A9D750FEC59092E0_12</vt:lpwstr>
  </property>
</Properties>
</file>